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53"/>
        <w:gridCol w:w="773"/>
        <w:gridCol w:w="2689"/>
        <w:gridCol w:w="5030"/>
      </w:tblGrid>
      <w:tr w:rsidR="00057A72">
        <w:tc>
          <w:tcPr>
            <w:tcW w:w="4215" w:type="dxa"/>
            <w:gridSpan w:val="3"/>
            <w:tcBorders>
              <w:top w:val="single" w:sz="4" w:space="0" w:color="auto"/>
            </w:tcBorders>
          </w:tcPr>
          <w:p w:rsidR="00057A72" w:rsidRPr="00D515FA" w:rsidRDefault="00057A72" w:rsidP="00EE0C96">
            <w:pPr>
              <w:rPr>
                <w:rFonts w:ascii="Arial" w:hAnsi="Arial" w:cs="Arial"/>
                <w:b/>
                <w:bCs/>
              </w:rPr>
            </w:pPr>
            <w:r w:rsidRPr="00D515FA">
              <w:rPr>
                <w:rFonts w:ascii="Arial" w:hAnsi="Arial" w:cs="Arial"/>
                <w:b/>
                <w:bCs/>
                <w:sz w:val="22"/>
                <w:szCs w:val="22"/>
              </w:rPr>
              <w:t>Dy.General Manager (</w:t>
            </w:r>
            <w:r>
              <w:rPr>
                <w:rFonts w:ascii="Arial" w:hAnsi="Arial" w:cs="Arial"/>
                <w:b/>
                <w:bCs/>
                <w:sz w:val="22"/>
                <w:szCs w:val="22"/>
              </w:rPr>
              <w:t>Broad band</w:t>
            </w:r>
            <w:r w:rsidRPr="00D515FA">
              <w:rPr>
                <w:rFonts w:ascii="Arial" w:hAnsi="Arial" w:cs="Arial"/>
                <w:b/>
                <w:bCs/>
                <w:sz w:val="22"/>
                <w:szCs w:val="22"/>
              </w:rPr>
              <w:t>)</w:t>
            </w:r>
          </w:p>
          <w:p w:rsidR="00057A72" w:rsidRPr="00D515FA" w:rsidRDefault="00057A72" w:rsidP="00EE0C96">
            <w:pPr>
              <w:rPr>
                <w:rFonts w:ascii="Arial" w:hAnsi="Arial" w:cs="Arial"/>
                <w:b/>
                <w:bCs/>
              </w:rPr>
            </w:pPr>
            <w:r w:rsidRPr="00D515FA">
              <w:rPr>
                <w:rFonts w:ascii="Arial" w:hAnsi="Arial" w:cs="Arial"/>
                <w:b/>
                <w:bCs/>
                <w:sz w:val="22"/>
                <w:szCs w:val="22"/>
              </w:rPr>
              <w:t>O/o PGM(Development)</w:t>
            </w:r>
          </w:p>
          <w:p w:rsidR="00057A72" w:rsidRPr="00D515FA" w:rsidRDefault="00057A72" w:rsidP="00EE0C96">
            <w:pPr>
              <w:rPr>
                <w:rFonts w:ascii="Arial" w:hAnsi="Arial" w:cs="Arial"/>
                <w:b/>
                <w:bCs/>
              </w:rPr>
            </w:pPr>
            <w:r w:rsidRPr="00D515FA">
              <w:rPr>
                <w:rFonts w:ascii="Arial" w:hAnsi="Arial" w:cs="Arial"/>
                <w:b/>
                <w:bCs/>
                <w:sz w:val="22"/>
                <w:szCs w:val="22"/>
              </w:rPr>
              <w:t>Tamil Nadu Telecom Circle</w:t>
            </w:r>
          </w:p>
          <w:p w:rsidR="00057A72" w:rsidRPr="00D515FA" w:rsidRDefault="00057A72" w:rsidP="00EE0C96">
            <w:pPr>
              <w:rPr>
                <w:rFonts w:ascii="Arial" w:hAnsi="Arial" w:cs="Arial"/>
                <w:b/>
                <w:bCs/>
              </w:rPr>
            </w:pPr>
            <w:r w:rsidRPr="00D515FA">
              <w:rPr>
                <w:rFonts w:ascii="Arial" w:hAnsi="Arial" w:cs="Arial"/>
                <w:b/>
                <w:bCs/>
                <w:sz w:val="22"/>
                <w:szCs w:val="22"/>
              </w:rPr>
              <w:t>Tamil Nadu Telecom Complex,</w:t>
            </w:r>
          </w:p>
          <w:p w:rsidR="00057A72" w:rsidRPr="00D515FA" w:rsidRDefault="00057A72" w:rsidP="00EE0C96">
            <w:pPr>
              <w:rPr>
                <w:rFonts w:ascii="Arial" w:hAnsi="Arial" w:cs="Arial"/>
                <w:b/>
                <w:bCs/>
              </w:rPr>
            </w:pPr>
            <w:r w:rsidRPr="00D515FA">
              <w:rPr>
                <w:rFonts w:ascii="Arial" w:hAnsi="Arial" w:cs="Arial"/>
                <w:b/>
                <w:bCs/>
                <w:sz w:val="22"/>
                <w:szCs w:val="22"/>
              </w:rPr>
              <w:t xml:space="preserve"> </w:t>
            </w:r>
            <w:r>
              <w:rPr>
                <w:rFonts w:ascii="Arial" w:hAnsi="Arial" w:cs="Arial"/>
                <w:b/>
                <w:bCs/>
                <w:sz w:val="22"/>
                <w:szCs w:val="22"/>
              </w:rPr>
              <w:t xml:space="preserve">IV </w:t>
            </w:r>
            <w:r w:rsidRPr="00D515FA">
              <w:rPr>
                <w:rFonts w:ascii="Arial" w:hAnsi="Arial" w:cs="Arial"/>
                <w:b/>
                <w:bCs/>
                <w:sz w:val="22"/>
                <w:szCs w:val="22"/>
              </w:rPr>
              <w:t xml:space="preserve">Floor, No.60, Ethiraj Salai, </w:t>
            </w:r>
          </w:p>
          <w:p w:rsidR="00057A72" w:rsidRDefault="00057A72" w:rsidP="00EE0C96">
            <w:pPr>
              <w:rPr>
                <w:rFonts w:ascii="Arial" w:hAnsi="Arial" w:cs="Arial"/>
                <w:b/>
                <w:bCs/>
              </w:rPr>
            </w:pPr>
            <w:r w:rsidRPr="00D515FA">
              <w:rPr>
                <w:rFonts w:ascii="Arial" w:hAnsi="Arial" w:cs="Arial"/>
                <w:b/>
                <w:bCs/>
                <w:sz w:val="22"/>
                <w:szCs w:val="22"/>
              </w:rPr>
              <w:t>Chennai – 600 008</w:t>
            </w:r>
          </w:p>
          <w:p w:rsidR="00057A72" w:rsidRPr="00D515FA" w:rsidRDefault="00057A72" w:rsidP="00EE0C96">
            <w:pPr>
              <w:rPr>
                <w:rFonts w:ascii="Arial" w:hAnsi="Arial" w:cs="Arial"/>
                <w:b/>
                <w:bCs/>
              </w:rPr>
            </w:pPr>
            <w:r>
              <w:rPr>
                <w:rFonts w:ascii="Arial" w:hAnsi="Arial" w:cs="Arial"/>
                <w:b/>
                <w:bCs/>
                <w:sz w:val="22"/>
                <w:szCs w:val="22"/>
              </w:rPr>
              <w:t>e-mail : tarasu6@rediffmail.com</w:t>
            </w:r>
          </w:p>
        </w:tc>
        <w:tc>
          <w:tcPr>
            <w:tcW w:w="5030" w:type="dxa"/>
            <w:tcBorders>
              <w:top w:val="single" w:sz="4" w:space="0" w:color="auto"/>
            </w:tcBorders>
          </w:tcPr>
          <w:p w:rsidR="00057A72" w:rsidRDefault="00057A72" w:rsidP="00EE0C96">
            <w:pPr>
              <w:jc w:val="right"/>
            </w:pPr>
            <w:r w:rsidRPr="00DC093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etterhead" style="width:222.75pt;height:50.25pt;visibility:visible">
                  <v:imagedata r:id="rId5" o:title=""/>
                </v:shape>
              </w:pict>
            </w:r>
          </w:p>
        </w:tc>
      </w:tr>
      <w:tr w:rsidR="00057A72">
        <w:tc>
          <w:tcPr>
            <w:tcW w:w="753" w:type="dxa"/>
            <w:tcBorders>
              <w:bottom w:val="single" w:sz="4" w:space="0" w:color="auto"/>
            </w:tcBorders>
          </w:tcPr>
          <w:p w:rsidR="00057A72" w:rsidRPr="00D515FA" w:rsidRDefault="00057A72" w:rsidP="00EE0C96">
            <w:pPr>
              <w:rPr>
                <w:rFonts w:ascii="Arial" w:hAnsi="Arial" w:cs="Arial"/>
                <w:b/>
                <w:bCs/>
              </w:rPr>
            </w:pPr>
            <w:r w:rsidRPr="00D515FA">
              <w:rPr>
                <w:rFonts w:ascii="Arial" w:hAnsi="Arial" w:cs="Arial"/>
                <w:b/>
                <w:bCs/>
                <w:sz w:val="22"/>
                <w:szCs w:val="22"/>
              </w:rPr>
              <w:t>Ph:</w:t>
            </w:r>
          </w:p>
          <w:p w:rsidR="00057A72" w:rsidRPr="00D515FA" w:rsidRDefault="00057A72" w:rsidP="00EE0C96">
            <w:pPr>
              <w:rPr>
                <w:rFonts w:ascii="Arial" w:hAnsi="Arial" w:cs="Arial"/>
                <w:b/>
                <w:bCs/>
              </w:rPr>
            </w:pPr>
            <w:r w:rsidRPr="00D515FA">
              <w:rPr>
                <w:rFonts w:ascii="Arial" w:hAnsi="Arial" w:cs="Arial"/>
                <w:b/>
                <w:bCs/>
                <w:sz w:val="22"/>
                <w:szCs w:val="22"/>
              </w:rPr>
              <w:t>FAX:</w:t>
            </w:r>
          </w:p>
        </w:tc>
        <w:tc>
          <w:tcPr>
            <w:tcW w:w="773" w:type="dxa"/>
            <w:tcBorders>
              <w:bottom w:val="single" w:sz="4" w:space="0" w:color="auto"/>
            </w:tcBorders>
          </w:tcPr>
          <w:p w:rsidR="00057A72" w:rsidRPr="00D515FA" w:rsidRDefault="00057A72" w:rsidP="00EE0C96">
            <w:pPr>
              <w:jc w:val="right"/>
              <w:rPr>
                <w:rFonts w:ascii="Arial" w:hAnsi="Arial" w:cs="Arial"/>
                <w:b/>
                <w:bCs/>
              </w:rPr>
            </w:pPr>
            <w:r w:rsidRPr="00D515FA">
              <w:rPr>
                <w:rFonts w:ascii="Arial" w:hAnsi="Arial" w:cs="Arial"/>
                <w:b/>
                <w:bCs/>
                <w:sz w:val="22"/>
                <w:szCs w:val="22"/>
              </w:rPr>
              <w:t>044</w:t>
            </w:r>
          </w:p>
          <w:p w:rsidR="00057A72" w:rsidRPr="00D515FA" w:rsidRDefault="00057A72" w:rsidP="00EE0C96">
            <w:pPr>
              <w:jc w:val="right"/>
              <w:rPr>
                <w:rFonts w:ascii="Arial" w:hAnsi="Arial" w:cs="Arial"/>
                <w:b/>
                <w:bCs/>
              </w:rPr>
            </w:pPr>
            <w:r w:rsidRPr="00D515FA">
              <w:rPr>
                <w:rFonts w:ascii="Arial" w:hAnsi="Arial" w:cs="Arial"/>
                <w:b/>
                <w:bCs/>
                <w:sz w:val="22"/>
                <w:szCs w:val="22"/>
              </w:rPr>
              <w:t>044</w:t>
            </w:r>
          </w:p>
        </w:tc>
        <w:tc>
          <w:tcPr>
            <w:tcW w:w="2689" w:type="dxa"/>
            <w:tcBorders>
              <w:bottom w:val="single" w:sz="4" w:space="0" w:color="auto"/>
            </w:tcBorders>
          </w:tcPr>
          <w:p w:rsidR="00057A72" w:rsidRPr="00D515FA" w:rsidRDefault="00057A72" w:rsidP="00EE0C96">
            <w:pPr>
              <w:rPr>
                <w:rFonts w:ascii="Arial" w:hAnsi="Arial" w:cs="Arial"/>
                <w:b/>
                <w:bCs/>
              </w:rPr>
            </w:pPr>
            <w:r w:rsidRPr="00D515FA">
              <w:rPr>
                <w:rFonts w:ascii="Arial" w:hAnsi="Arial" w:cs="Arial"/>
                <w:b/>
                <w:bCs/>
                <w:sz w:val="22"/>
                <w:szCs w:val="22"/>
              </w:rPr>
              <w:t xml:space="preserve">2826 </w:t>
            </w:r>
            <w:r>
              <w:rPr>
                <w:rFonts w:ascii="Arial" w:hAnsi="Arial" w:cs="Arial"/>
                <w:b/>
                <w:bCs/>
                <w:sz w:val="22"/>
                <w:szCs w:val="22"/>
              </w:rPr>
              <w:t>2940</w:t>
            </w:r>
          </w:p>
          <w:p w:rsidR="00057A72" w:rsidRPr="00D515FA" w:rsidRDefault="00057A72" w:rsidP="00EE0C96">
            <w:pPr>
              <w:rPr>
                <w:rFonts w:ascii="Arial" w:hAnsi="Arial" w:cs="Arial"/>
                <w:b/>
                <w:bCs/>
              </w:rPr>
            </w:pPr>
            <w:r>
              <w:rPr>
                <w:rFonts w:ascii="Arial" w:hAnsi="Arial" w:cs="Arial"/>
                <w:b/>
                <w:bCs/>
                <w:sz w:val="22"/>
                <w:szCs w:val="22"/>
              </w:rPr>
              <w:t>2826 1021</w:t>
            </w:r>
          </w:p>
        </w:tc>
        <w:tc>
          <w:tcPr>
            <w:tcW w:w="5030" w:type="dxa"/>
            <w:tcBorders>
              <w:bottom w:val="single" w:sz="4" w:space="0" w:color="auto"/>
            </w:tcBorders>
          </w:tcPr>
          <w:p w:rsidR="00057A72" w:rsidRDefault="00057A72" w:rsidP="00EE0C96">
            <w:pPr>
              <w:jc w:val="right"/>
            </w:pPr>
          </w:p>
        </w:tc>
      </w:tr>
    </w:tbl>
    <w:p w:rsidR="00057A72" w:rsidRDefault="00057A72" w:rsidP="00976FF1">
      <w:r>
        <w:t>To</w:t>
      </w:r>
    </w:p>
    <w:p w:rsidR="00057A72" w:rsidRDefault="00057A72" w:rsidP="00976FF1">
      <w:r>
        <w:t>Heads of all SSA,</w:t>
      </w:r>
    </w:p>
    <w:p w:rsidR="00057A72" w:rsidRDefault="00057A72" w:rsidP="00976FF1">
      <w:r>
        <w:t>GM Sales &amp; Marketing,(CFA) Chennai-6</w:t>
      </w:r>
    </w:p>
    <w:p w:rsidR="00057A72" w:rsidRDefault="00057A72" w:rsidP="00976FF1">
      <w:r>
        <w:tab/>
      </w:r>
      <w:r>
        <w:tab/>
      </w:r>
      <w:r>
        <w:tab/>
      </w:r>
      <w:r>
        <w:tab/>
      </w:r>
    </w:p>
    <w:p w:rsidR="00057A72" w:rsidRDefault="00057A72" w:rsidP="00D90121">
      <w:pPr>
        <w:ind w:left="1440" w:firstLine="720"/>
      </w:pPr>
      <w:r>
        <w:t>Sub: Promotion of BB VAS-Topper education video learning service</w:t>
      </w:r>
    </w:p>
    <w:p w:rsidR="00057A72" w:rsidRDefault="00057A72" w:rsidP="00D90121">
      <w:pPr>
        <w:ind w:left="1440" w:firstLine="720"/>
      </w:pPr>
      <w:r>
        <w:t>Ref: GC18/TOPPER EDU./2012-13/16, dated 15-5-12</w:t>
      </w:r>
    </w:p>
    <w:p w:rsidR="00057A72" w:rsidRDefault="00057A72" w:rsidP="001E1258">
      <w:pPr>
        <w:ind w:firstLine="720"/>
        <w:jc w:val="both"/>
      </w:pPr>
    </w:p>
    <w:p w:rsidR="00057A72" w:rsidRDefault="00057A72" w:rsidP="001E1258">
      <w:pPr>
        <w:ind w:firstLine="720"/>
        <w:jc w:val="both"/>
      </w:pPr>
      <w:r>
        <w:t>BSNL has signed an agreement with M/s Greycells18  Media Ltd. On 2/6/2011 for providing “Topper Educational Video Learning Service to BSNL Land Line Broad Band customers.  This agreement is valid for a period of 6 months with provision of extension for one year based on the performance of 6 months.  The agreement has been extended on 10.1.2012 for a period of 6 months with effect from 2/12/2011 to 01/06/2012 (corporate office letter No: 64-160/10-BB(VAS) dated 10.1.2012.)</w:t>
      </w:r>
    </w:p>
    <w:p w:rsidR="00057A72" w:rsidRDefault="00057A72" w:rsidP="001E1258">
      <w:pPr>
        <w:jc w:val="both"/>
      </w:pPr>
    </w:p>
    <w:p w:rsidR="00057A72" w:rsidRDefault="00057A72" w:rsidP="001E1258">
      <w:pPr>
        <w:ind w:firstLine="720"/>
        <w:jc w:val="both"/>
      </w:pPr>
      <w:r>
        <w:t xml:space="preserve">This agreement will enable GC18 to provide educational content based services to BSNL Broad Band subscribers by making all necessary arrangements at its own costs for the infrastructure (content /applications/servers  etc.) involved in provision of these services with BSNL providing support in the form of hosting space connectivity and billing integration.  The educational content based service shall be delivered over BSNL established DSL based BB.  </w:t>
      </w:r>
    </w:p>
    <w:p w:rsidR="00057A72" w:rsidRDefault="00057A72" w:rsidP="001E1258">
      <w:pPr>
        <w:jc w:val="both"/>
      </w:pPr>
    </w:p>
    <w:p w:rsidR="00057A72" w:rsidRPr="00B36088" w:rsidRDefault="00057A72" w:rsidP="001E1258">
      <w:pPr>
        <w:ind w:firstLine="360"/>
        <w:jc w:val="both"/>
        <w:rPr>
          <w:b/>
          <w:bCs/>
        </w:rPr>
      </w:pPr>
      <w:r w:rsidRPr="00B36088">
        <w:rPr>
          <w:b/>
          <w:bCs/>
        </w:rPr>
        <w:t>Tariff of Toper services(for six months only)</w:t>
      </w:r>
    </w:p>
    <w:p w:rsidR="00057A72" w:rsidRPr="00B36088" w:rsidRDefault="00057A72" w:rsidP="001E1258">
      <w:pPr>
        <w:pStyle w:val="ListParagraph"/>
        <w:numPr>
          <w:ilvl w:val="0"/>
          <w:numId w:val="1"/>
        </w:numPr>
        <w:jc w:val="both"/>
        <w:rPr>
          <w:b/>
          <w:bCs/>
          <w:i/>
          <w:iCs/>
        </w:rPr>
      </w:pPr>
      <w:r w:rsidRPr="00B36088">
        <w:rPr>
          <w:b/>
          <w:bCs/>
          <w:i/>
          <w:iCs/>
        </w:rPr>
        <w:t>Monthly subscription Rs. 150/- for each class from IX to XII standard for following subject: for class IX to X ,Physics,Chemistry,Biology, and Mathematics</w:t>
      </w:r>
    </w:p>
    <w:p w:rsidR="00057A72" w:rsidRPr="00B36088" w:rsidRDefault="00057A72" w:rsidP="001E1258">
      <w:pPr>
        <w:pStyle w:val="ListParagraph"/>
        <w:jc w:val="both"/>
        <w:rPr>
          <w:b/>
          <w:bCs/>
          <w:i/>
          <w:iCs/>
        </w:rPr>
      </w:pPr>
      <w:r w:rsidRPr="00B36088">
        <w:rPr>
          <w:b/>
          <w:bCs/>
          <w:i/>
          <w:iCs/>
        </w:rPr>
        <w:t>For class XI and XII  Physics, Chemistry and Mathematics</w:t>
      </w:r>
    </w:p>
    <w:p w:rsidR="00057A72" w:rsidRPr="00B36088" w:rsidRDefault="00057A72" w:rsidP="001E1258">
      <w:pPr>
        <w:pStyle w:val="ListParagraph"/>
        <w:numPr>
          <w:ilvl w:val="0"/>
          <w:numId w:val="1"/>
        </w:numPr>
        <w:jc w:val="both"/>
        <w:rPr>
          <w:b/>
          <w:bCs/>
          <w:i/>
          <w:iCs/>
        </w:rPr>
      </w:pPr>
      <w:r w:rsidRPr="00B36088">
        <w:rPr>
          <w:b/>
          <w:bCs/>
          <w:i/>
          <w:iCs/>
        </w:rPr>
        <w:t>Data down load of topper service would not be counted in total down load count of</w:t>
      </w:r>
    </w:p>
    <w:p w:rsidR="00057A72" w:rsidRPr="00B36088" w:rsidRDefault="00057A72" w:rsidP="001E1258">
      <w:pPr>
        <w:pStyle w:val="ListParagraph"/>
        <w:jc w:val="both"/>
        <w:rPr>
          <w:b/>
          <w:bCs/>
          <w:i/>
          <w:iCs/>
        </w:rPr>
      </w:pPr>
      <w:r w:rsidRPr="00B36088">
        <w:rPr>
          <w:b/>
          <w:bCs/>
          <w:i/>
          <w:iCs/>
        </w:rPr>
        <w:t>BSNL broad band customer</w:t>
      </w:r>
    </w:p>
    <w:p w:rsidR="00057A72" w:rsidRDefault="00057A72" w:rsidP="001E1258">
      <w:pPr>
        <w:ind w:firstLine="720"/>
        <w:jc w:val="both"/>
      </w:pPr>
      <w:r w:rsidRPr="0097032E">
        <w:rPr>
          <w:b/>
          <w:bCs/>
        </w:rPr>
        <w:t>The payment of revenue share shall be made to GC 18 on the billed amount</w:t>
      </w:r>
      <w:r>
        <w:rPr>
          <w:b/>
          <w:bCs/>
        </w:rPr>
        <w:t>. In addition to other statutory levies/or taxes, license fee @6% of AGR(Adjusted Gross Revenue) shall be deducted from the total revenue generated out of service to account for the license fee paid by BSNL to Govt. of India. The balance amount would be shared in the ratio of 67.5% to BSNL and 32.5% to M/s Greycells18 media Ltd.</w:t>
      </w:r>
      <w:r>
        <w:t xml:space="preserve"> </w:t>
      </w:r>
    </w:p>
    <w:p w:rsidR="00057A72" w:rsidRDefault="00057A72" w:rsidP="00D90121">
      <w:pPr>
        <w:pStyle w:val="ListParagraph"/>
      </w:pPr>
    </w:p>
    <w:p w:rsidR="00057A72" w:rsidRDefault="00057A72" w:rsidP="000D644A">
      <w:pPr>
        <w:ind w:firstLine="720"/>
      </w:pPr>
      <w:r>
        <w:t>As per the said agreement, both BSNL and M/s Greycells18 would do marketing of the service on best effort basis. M/s Greycells18 would do marketing through TV, News paper and</w:t>
      </w:r>
    </w:p>
    <w:p w:rsidR="00057A72" w:rsidRDefault="00057A72" w:rsidP="000D644A">
      <w:r>
        <w:t>Electronic media. Call centre of GC18 will be involved in addressing the content related queries</w:t>
      </w:r>
    </w:p>
    <w:p w:rsidR="00057A72" w:rsidRDefault="00057A72" w:rsidP="000D644A">
      <w:r>
        <w:t>of subscribers. Along with other VAS services, BSNL would do marketing through sms,e-mails</w:t>
      </w:r>
    </w:p>
    <w:p w:rsidR="00057A72" w:rsidRDefault="00057A72" w:rsidP="000D644A">
      <w:r>
        <w:t>and printing on bills. BSNL would also mention this service as a value added service in its prints.</w:t>
      </w:r>
    </w:p>
    <w:p w:rsidR="00057A72" w:rsidRDefault="00057A72" w:rsidP="000D644A"/>
    <w:p w:rsidR="00057A72" w:rsidRPr="001E1258" w:rsidRDefault="00057A72" w:rsidP="001E1258">
      <w:pPr>
        <w:pStyle w:val="ListParagraph"/>
        <w:ind w:left="0"/>
        <w:jc w:val="both"/>
        <w:rPr>
          <w:b/>
          <w:bCs/>
        </w:rPr>
      </w:pPr>
      <w:r w:rsidRPr="001E1258">
        <w:rPr>
          <w:b/>
          <w:bCs/>
        </w:rPr>
        <w:t>37 customers are availing this service in 14 SSA in TN circle as on March-12. CFA sales &amp; marketing and Udaan team of SSA would promote this facility as value added service by contacting principals of Higher secondary school along with BB connection for demonstration. They can also interact with students during morning prayer.</w:t>
      </w:r>
    </w:p>
    <w:p w:rsidR="00057A72" w:rsidRDefault="00057A72" w:rsidP="001B6E20">
      <w:pPr>
        <w:pStyle w:val="ListParagraph"/>
      </w:pPr>
      <w:r>
        <w:tab/>
      </w:r>
      <w:r>
        <w:tab/>
      </w:r>
      <w:r>
        <w:tab/>
      </w:r>
      <w:r>
        <w:tab/>
      </w:r>
      <w:r>
        <w:tab/>
      </w:r>
      <w:r>
        <w:tab/>
      </w:r>
      <w:r>
        <w:tab/>
      </w:r>
    </w:p>
    <w:p w:rsidR="00057A72" w:rsidRDefault="00057A72" w:rsidP="001E1258">
      <w:pPr>
        <w:pStyle w:val="ListParagraph"/>
        <w:jc w:val="right"/>
      </w:pPr>
      <w:r>
        <w:t>General Manager ( NWP-CFA)</w:t>
      </w:r>
    </w:p>
    <w:p w:rsidR="00057A72" w:rsidRDefault="00057A72" w:rsidP="001B6E20">
      <w:pPr>
        <w:pStyle w:val="ListParagraph"/>
      </w:pPr>
      <w:r>
        <w:tab/>
      </w:r>
      <w:r>
        <w:tab/>
      </w:r>
      <w:r>
        <w:tab/>
      </w:r>
      <w:r>
        <w:tab/>
      </w:r>
      <w:r>
        <w:tab/>
      </w:r>
      <w:r>
        <w:tab/>
      </w:r>
      <w:r>
        <w:tab/>
        <w:t xml:space="preserve">                            TN Circle</w:t>
      </w:r>
    </w:p>
    <w:p w:rsidR="00057A72" w:rsidRDefault="00057A72" w:rsidP="001B6E20">
      <w:pPr>
        <w:pStyle w:val="ListParagraph"/>
      </w:pPr>
      <w:r>
        <w:tab/>
      </w:r>
      <w:r>
        <w:tab/>
      </w:r>
      <w:r>
        <w:tab/>
      </w:r>
      <w:r>
        <w:tab/>
      </w:r>
      <w:r>
        <w:tab/>
      </w:r>
      <w:r>
        <w:tab/>
      </w:r>
      <w:r>
        <w:tab/>
        <w:t xml:space="preserve">                        60 Ethiraj salai</w:t>
      </w:r>
    </w:p>
    <w:p w:rsidR="00057A72" w:rsidRDefault="00057A72" w:rsidP="001B6E20">
      <w:pPr>
        <w:pStyle w:val="ListParagraph"/>
      </w:pPr>
      <w:r>
        <w:tab/>
      </w:r>
      <w:r>
        <w:tab/>
      </w:r>
      <w:r>
        <w:tab/>
      </w:r>
      <w:r>
        <w:tab/>
      </w:r>
      <w:r>
        <w:tab/>
      </w:r>
      <w:r>
        <w:tab/>
      </w:r>
      <w:r>
        <w:tab/>
        <w:t xml:space="preserve">                           Chennai-8</w:t>
      </w:r>
      <w:r>
        <w:tab/>
        <w:t xml:space="preserve">     </w:t>
      </w:r>
    </w:p>
    <w:sectPr w:rsidR="00057A72" w:rsidSect="001E1258">
      <w:pgSz w:w="12240" w:h="15840"/>
      <w:pgMar w:top="360" w:right="1440"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53D2E"/>
    <w:multiLevelType w:val="hybridMultilevel"/>
    <w:tmpl w:val="92E603C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6FF1"/>
    <w:rsid w:val="00057A72"/>
    <w:rsid w:val="000D644A"/>
    <w:rsid w:val="001B6E20"/>
    <w:rsid w:val="001E1258"/>
    <w:rsid w:val="00295B93"/>
    <w:rsid w:val="002F4A7D"/>
    <w:rsid w:val="0043139E"/>
    <w:rsid w:val="004C440C"/>
    <w:rsid w:val="00647270"/>
    <w:rsid w:val="009141D4"/>
    <w:rsid w:val="0097032E"/>
    <w:rsid w:val="00976FF1"/>
    <w:rsid w:val="00985DEF"/>
    <w:rsid w:val="00AC0F37"/>
    <w:rsid w:val="00B36088"/>
    <w:rsid w:val="00BB6809"/>
    <w:rsid w:val="00C01C44"/>
    <w:rsid w:val="00C7710D"/>
    <w:rsid w:val="00D515FA"/>
    <w:rsid w:val="00D652D1"/>
    <w:rsid w:val="00D90121"/>
    <w:rsid w:val="00DA36AC"/>
    <w:rsid w:val="00DB3732"/>
    <w:rsid w:val="00DC093D"/>
    <w:rsid w:val="00DE1003"/>
    <w:rsid w:val="00EE0C96"/>
    <w:rsid w:val="00F155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FF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76F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6FF1"/>
    <w:rPr>
      <w:rFonts w:ascii="Tahoma" w:hAnsi="Tahoma" w:cs="Tahoma"/>
      <w:sz w:val="16"/>
      <w:szCs w:val="16"/>
    </w:rPr>
  </w:style>
  <w:style w:type="paragraph" w:styleId="ListParagraph">
    <w:name w:val="List Paragraph"/>
    <w:basedOn w:val="Normal"/>
    <w:uiPriority w:val="99"/>
    <w:qFormat/>
    <w:rsid w:val="00295B93"/>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460</Words>
  <Characters>2625</Characters>
  <Application>Microsoft Office Outlook</Application>
  <DocSecurity>0</DocSecurity>
  <Lines>0</Lines>
  <Paragraphs>0</Paragraphs>
  <ScaleCrop>false</ScaleCrop>
  <Company>BSNL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dc:title>
  <dc:subject/>
  <dc:creator>agmbbop</dc:creator>
  <cp:keywords/>
  <dc:description/>
  <cp:lastModifiedBy>sdecomputer</cp:lastModifiedBy>
  <cp:revision>4</cp:revision>
  <dcterms:created xsi:type="dcterms:W3CDTF">2012-05-16T09:59:00Z</dcterms:created>
  <dcterms:modified xsi:type="dcterms:W3CDTF">2012-05-16T10:02:00Z</dcterms:modified>
</cp:coreProperties>
</file>